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Times New Roman" w:hAnsi="Times New Roman"/>
          <w:b/>
          <w:bCs/>
          <w:sz w:val="48"/>
          <w:szCs w:val="48"/>
          <w:u w:val="single"/>
          <w:lang w:eastAsia="zh-CN"/>
        </w:rPr>
        <w:t>可视喉镜、经皮黄疸仪、恒温摆动保存箱采购项目</w:t>
      </w: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3"/>
        <w:ind w:left="0" w:leftChars="0" w:firstLine="0" w:firstLineChars="0"/>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jc w:val="center"/>
        <w:rPr>
          <w:rFonts w:hint="eastAsia" w:ascii="Times New Roman" w:hAnsi="Times New Roman"/>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年4月</w:t>
      </w:r>
    </w:p>
    <w:p>
      <w:pPr>
        <w:rPr>
          <w:rFonts w:hint="eastAsia" w:ascii="Times New Roman" w:hAnsi="Times New Roman"/>
          <w:b/>
          <w:bCs/>
          <w:sz w:val="32"/>
          <w:szCs w:val="32"/>
        </w:rPr>
      </w:pPr>
      <w:r>
        <w:rPr>
          <w:rFonts w:hint="eastAsia" w:ascii="Times New Roman" w:hAnsi="Times New Roman"/>
          <w:b/>
          <w:bCs/>
          <w:sz w:val="32"/>
          <w:szCs w:val="32"/>
        </w:rPr>
        <w:br w:type="page"/>
      </w:r>
    </w:p>
    <w:p>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关于可视喉镜、经皮黄疸仪、恒温摆动保存箱的采购公告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可视喉镜、经皮黄疸仪、恒温摆动保存箱，</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可视喉镜、经皮黄疸仪、恒温摆动保存箱采</w:t>
      </w:r>
      <w:r>
        <w:rPr>
          <w:rFonts w:ascii="Times New Roman" w:hAnsi="Times New Roman"/>
          <w:bCs/>
          <w:sz w:val="24"/>
          <w:szCs w:val="24"/>
        </w:rPr>
        <w:t>购项目</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905"/>
        <w:gridCol w:w="781"/>
        <w:gridCol w:w="703"/>
        <w:gridCol w:w="2144"/>
        <w:gridCol w:w="129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1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12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11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val="en-US" w:eastAsia="zh-CN"/>
              </w:rPr>
              <w:t>可视喉镜</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w:t>
            </w:r>
          </w:p>
        </w:tc>
        <w:tc>
          <w:tcPr>
            <w:tcW w:w="12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5.0</w:t>
            </w:r>
          </w:p>
        </w:tc>
        <w:tc>
          <w:tcPr>
            <w:tcW w:w="76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40"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1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经皮黄疸仪</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2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2.5</w:t>
            </w:r>
          </w:p>
        </w:tc>
        <w:tc>
          <w:tcPr>
            <w:tcW w:w="76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40"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03</w:t>
            </w:r>
          </w:p>
        </w:tc>
        <w:tc>
          <w:tcPr>
            <w:tcW w:w="11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恒温摆动保存箱</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2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3.0</w:t>
            </w:r>
          </w:p>
        </w:tc>
        <w:tc>
          <w:tcPr>
            <w:tcW w:w="767" w:type="pct"/>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40" w:type="pct"/>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5</w:t>
      </w:r>
      <w:r>
        <w:rPr>
          <w:rFonts w:ascii="Times New Roman" w:hAnsi="Times New Roman"/>
          <w:color w:val="auto"/>
          <w:sz w:val="24"/>
          <w:szCs w:val="24"/>
        </w:rPr>
        <w:t>月</w:t>
      </w:r>
      <w:r>
        <w:rPr>
          <w:rFonts w:hint="eastAsia" w:ascii="Times New Roman" w:hAnsi="Times New Roman"/>
          <w:color w:val="auto"/>
          <w:sz w:val="24"/>
          <w:szCs w:val="24"/>
          <w:lang w:val="en-US" w:eastAsia="zh-CN"/>
        </w:rPr>
        <w:t>10</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4</w:t>
      </w:r>
      <w:bookmarkStart w:id="51" w:name="_GoBack"/>
      <w:bookmarkEnd w:id="51"/>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29</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可视喉镜、经皮黄疸仪、恒温摆动保存箱</w:t>
      </w:r>
      <w:r>
        <w:rPr>
          <w:rFonts w:hint="eastAsia" w:ascii="Times New Roman" w:hAnsi="Times New Roman"/>
          <w:color w:val="auto"/>
          <w:sz w:val="32"/>
          <w:szCs w:val="32"/>
          <w:lang w:eastAsia="zh-CN"/>
        </w:rPr>
        <w:t>的比选文件</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可视喉镜、经皮黄疸仪、恒温摆动保存箱，</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可视喉镜、经皮黄疸仪、恒温摆动保存箱</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905"/>
        <w:gridCol w:w="781"/>
        <w:gridCol w:w="703"/>
        <w:gridCol w:w="2144"/>
        <w:gridCol w:w="129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1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12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11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val="en-US" w:eastAsia="zh-CN"/>
              </w:rPr>
              <w:t>可视喉镜</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w:t>
            </w:r>
          </w:p>
        </w:tc>
        <w:tc>
          <w:tcPr>
            <w:tcW w:w="12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5.0</w:t>
            </w:r>
          </w:p>
        </w:tc>
        <w:tc>
          <w:tcPr>
            <w:tcW w:w="76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40"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1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经皮黄疸仪</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2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2.5</w:t>
            </w:r>
          </w:p>
        </w:tc>
        <w:tc>
          <w:tcPr>
            <w:tcW w:w="76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40"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03</w:t>
            </w:r>
          </w:p>
        </w:tc>
        <w:tc>
          <w:tcPr>
            <w:tcW w:w="11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恒温摆动保存箱</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2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3.0</w:t>
            </w:r>
          </w:p>
        </w:tc>
        <w:tc>
          <w:tcPr>
            <w:tcW w:w="767" w:type="pct"/>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40" w:type="pct"/>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4</w:t>
      </w:r>
      <w:r>
        <w:rPr>
          <w:rFonts w:hint="eastAsia" w:ascii="Times New Roman" w:hAnsi="Times New Roman"/>
          <w:sz w:val="24"/>
          <w:szCs w:val="24"/>
        </w:rPr>
        <w:t>年</w:t>
      </w:r>
      <w:r>
        <w:rPr>
          <w:rFonts w:hint="eastAsia" w:ascii="Times New Roman" w:hAnsi="Times New Roman"/>
          <w:sz w:val="24"/>
          <w:szCs w:val="24"/>
          <w:lang w:val="en-US" w:eastAsia="zh-CN"/>
        </w:rPr>
        <w:t>5</w:t>
      </w:r>
      <w:r>
        <w:rPr>
          <w:rFonts w:hint="eastAsia" w:ascii="Times New Roman" w:hAnsi="Times New Roman"/>
          <w:sz w:val="24"/>
          <w:szCs w:val="24"/>
        </w:rPr>
        <w:t>月</w:t>
      </w:r>
      <w:r>
        <w:rPr>
          <w:rFonts w:hint="eastAsia" w:ascii="Times New Roman" w:hAnsi="Times New Roman"/>
          <w:sz w:val="24"/>
          <w:szCs w:val="24"/>
          <w:lang w:val="en-US" w:eastAsia="zh-CN"/>
        </w:rPr>
        <w:t>7</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5</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eastAsia="zh-CN"/>
        </w:rPr>
        <w:t>项目</w:t>
      </w:r>
      <w:r>
        <w:rPr>
          <w:rFonts w:hint="eastAsia" w:ascii="Times New Roman" w:hAnsi="Times New Roman"/>
          <w:kern w:val="0"/>
          <w:sz w:val="24"/>
          <w:szCs w:val="24"/>
        </w:rPr>
        <w:t>名称</w:t>
      </w:r>
      <w:r>
        <w:rPr>
          <w:rFonts w:hint="eastAsia" w:ascii="Times New Roman" w:hAnsi="Times New Roman"/>
          <w:kern w:val="0"/>
          <w:sz w:val="24"/>
          <w:szCs w:val="24"/>
          <w:lang w:eastAsia="zh-CN"/>
        </w:rPr>
        <w:t>和包号</w:t>
      </w:r>
      <w:r>
        <w:rPr>
          <w:rFonts w:hint="eastAsia" w:ascii="Times New Roman" w:hAnsi="Times New Roman"/>
          <w:kern w:val="0"/>
          <w:sz w:val="24"/>
          <w:szCs w:val="24"/>
        </w:rPr>
        <w:t>。</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4</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13</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firstLine="0" w:firstLineChars="0"/>
        <w:textAlignment w:val="baseline"/>
        <w:rPr>
          <w:rFonts w:hint="eastAsia" w:ascii="宋体" w:hAnsi="宋体" w:cs="宋体"/>
          <w:b/>
          <w:bCs/>
          <w:sz w:val="24"/>
          <w:lang w:val="en-US" w:eastAsia="zh-CN"/>
        </w:rPr>
      </w:pPr>
      <w:r>
        <w:rPr>
          <w:rFonts w:hint="eastAsia" w:ascii="宋体" w:hAnsi="宋体" w:cs="宋体"/>
          <w:b/>
          <w:bCs/>
          <w:sz w:val="24"/>
          <w:lang w:val="en-US" w:eastAsia="zh-CN"/>
        </w:rPr>
        <w:t>01包 可视喉镜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1.带成人，儿童两种喉镜片，喉镜片可消毒重复使用。</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2.屏幕≥3.0英寸高清屏幕，屏幕可旋转</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3.喉镜片与屏幕可实现快速插拔</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4.有防雾功能</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sz w:val="24"/>
          <w:szCs w:val="24"/>
        </w:rPr>
        <w:t>5.整机具有防水功能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firstLine="0" w:firstLineChars="0"/>
        <w:textAlignment w:val="baseline"/>
        <w:rPr>
          <w:rFonts w:hint="default" w:ascii="宋体" w:hAnsi="宋体" w:cs="宋体"/>
          <w:b/>
          <w:bCs/>
          <w:sz w:val="24"/>
          <w:lang w:val="en-US" w:eastAsia="zh-CN"/>
        </w:rPr>
      </w:pPr>
      <w:r>
        <w:rPr>
          <w:rFonts w:hint="eastAsia" w:ascii="宋体" w:hAnsi="宋体" w:cs="宋体"/>
          <w:b/>
          <w:bCs/>
          <w:sz w:val="24"/>
          <w:lang w:val="en-US" w:eastAsia="zh-CN"/>
        </w:rPr>
        <w:t>02包 经皮黄疸仪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1.内部电源供电时：锂电池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2.光源: 氙闪光灯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3.▲光源寿命：不低于150000次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4.▲最大显示值：≥25.0 mg/dL (425μmol/L)</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5.准确度：± 1.0 mg/dL （±25.5μmol/L）</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6.重复性：≤2%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7.▲检查屏(波长为550nm和461nm光谱的透过率之比为)：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（1）预定值为“0”的检查屏为1±0.1；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（2）预定值为“20”的检查屏为5±0.5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8.平均测量功能：可设置1～5次平均测量方式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9.亮度调节：屏幕亮度≥5级调节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10.测量单位：测量单位可在mg/dL和μmol/L间切换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11.屏幕保护：屏幕保护时间可设置为1分钟或5分钟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12.历史数据保存：测量结果、测量时间等</w:t>
      </w:r>
    </w:p>
    <w:p>
      <w:pPr>
        <w:pStyle w:val="2"/>
        <w:keepNext w:val="0"/>
        <w:keepLines w:val="0"/>
        <w:pageBreakBefore w:val="0"/>
        <w:kinsoku/>
        <w:wordWrap/>
        <w:overflowPunct/>
        <w:topLinePunct w:val="0"/>
        <w:autoSpaceDE/>
        <w:autoSpaceDN/>
        <w:bidi w:val="0"/>
        <w:adjustRightInd/>
        <w:spacing w:line="36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03包 恒温摆动保存箱</w:t>
      </w:r>
    </w:p>
    <w:p>
      <w:pPr>
        <w:pStyle w:val="3"/>
        <w:keepNext w:val="0"/>
        <w:keepLines w:val="0"/>
        <w:pageBreakBefore w:val="0"/>
        <w:kinsoku/>
        <w:wordWrap/>
        <w:overflowPunct/>
        <w:topLinePunct w:val="0"/>
        <w:autoSpaceDE/>
        <w:autoSpaceDN/>
        <w:bidi w:val="0"/>
        <w:adjustRightInd/>
        <w:spacing w:line="3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用于血小板保存；</w:t>
      </w:r>
    </w:p>
    <w:p>
      <w:pPr>
        <w:pStyle w:val="3"/>
        <w:keepNext w:val="0"/>
        <w:keepLines w:val="0"/>
        <w:pageBreakBefore w:val="0"/>
        <w:kinsoku/>
        <w:wordWrap/>
        <w:overflowPunct/>
        <w:topLinePunct w:val="0"/>
        <w:autoSpaceDE/>
        <w:autoSpaceDN/>
        <w:bidi w:val="0"/>
        <w:adjustRightInd/>
        <w:spacing w:line="3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控温范围：22℃±2℃，控温精度：±0.2℃；</w:t>
      </w:r>
    </w:p>
    <w:p>
      <w:pPr>
        <w:pStyle w:val="3"/>
        <w:keepNext w:val="0"/>
        <w:keepLines w:val="0"/>
        <w:pageBreakBefore w:val="0"/>
        <w:kinsoku/>
        <w:wordWrap/>
        <w:overflowPunct/>
        <w:topLinePunct w:val="0"/>
        <w:autoSpaceDE/>
        <w:autoSpaceDN/>
        <w:bidi w:val="0"/>
        <w:adjustRightInd/>
        <w:spacing w:line="3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报警温度：低于20℃高于24℃。云报警系统，当设备超过正常温度时可通过电话、短信、微信等方式告知管理人员；</w:t>
      </w:r>
    </w:p>
    <w:p>
      <w:pPr>
        <w:pStyle w:val="3"/>
        <w:keepNext w:val="0"/>
        <w:keepLines w:val="0"/>
        <w:pageBreakBefore w:val="0"/>
        <w:kinsoku/>
        <w:wordWrap/>
        <w:overflowPunct/>
        <w:topLinePunct w:val="0"/>
        <w:autoSpaceDE/>
        <w:autoSpaceDN/>
        <w:bidi w:val="0"/>
        <w:adjustRightInd/>
        <w:spacing w:line="3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摆动频率：50-60周/min。具有摆动记忆功能，异常断电恢复后自动开启摆动；</w:t>
      </w:r>
    </w:p>
    <w:p>
      <w:pPr>
        <w:pStyle w:val="3"/>
        <w:keepNext w:val="0"/>
        <w:keepLines w:val="0"/>
        <w:pageBreakBefore w:val="0"/>
        <w:kinsoku/>
        <w:wordWrap/>
        <w:overflowPunct/>
        <w:topLinePunct w:val="0"/>
        <w:autoSpaceDE/>
        <w:autoSpaceDN/>
        <w:bidi w:val="0"/>
        <w:adjustRightInd/>
        <w:spacing w:line="3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箱内自带紫外灯消毒；</w:t>
      </w:r>
    </w:p>
    <w:p>
      <w:pPr>
        <w:pStyle w:val="3"/>
        <w:keepNext w:val="0"/>
        <w:keepLines w:val="0"/>
        <w:pageBreakBefore w:val="0"/>
        <w:kinsoku/>
        <w:wordWrap/>
        <w:overflowPunct/>
        <w:topLinePunct w:val="0"/>
        <w:autoSpaceDE/>
        <w:autoSpaceDN/>
        <w:bidi w:val="0"/>
        <w:adjustRightInd/>
        <w:spacing w:line="3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实时显示温度，能实时记录血小板存放过程的温度数据;</w:t>
      </w:r>
    </w:p>
    <w:p>
      <w:pPr>
        <w:pStyle w:val="3"/>
        <w:keepNext w:val="0"/>
        <w:keepLines w:val="0"/>
        <w:pageBreakBefore w:val="0"/>
        <w:kinsoku/>
        <w:wordWrap/>
        <w:overflowPunct/>
        <w:topLinePunct w:val="0"/>
        <w:autoSpaceDE/>
        <w:autoSpaceDN/>
        <w:bidi w:val="0"/>
        <w:adjustRightInd/>
        <w:spacing w:line="3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自动故障检测识别，屏幕可显示故障信息。</w:t>
      </w:r>
    </w:p>
    <w:p>
      <w:pPr>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default"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01、02包</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1.3交货期：签订合同后，接到医院通知后30日内。</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2.1质保期：01包保修期≥3年，02包保修期≥1年。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pStyle w:val="23"/>
        <w:keepNext w:val="0"/>
        <w:keepLines w:val="0"/>
        <w:pageBreakBefore w:val="0"/>
        <w:kinsoku/>
        <w:wordWrap/>
        <w:overflowPunct/>
        <w:topLinePunct w:val="0"/>
        <w:autoSpaceDE/>
        <w:autoSpaceDN/>
        <w:bidi w:val="0"/>
        <w:adjustRightInd/>
        <w:spacing w:line="360" w:lineRule="exact"/>
        <w:ind w:left="0" w:leftChars="0" w:firstLine="0" w:firstLineChars="0"/>
        <w:rPr>
          <w:rFonts w:hint="eastAsia"/>
          <w:b/>
          <w:bCs/>
          <w:lang w:val="en-US" w:eastAsia="zh-CN"/>
        </w:rPr>
      </w:pPr>
      <w:r>
        <w:rPr>
          <w:rFonts w:hint="eastAsia"/>
          <w:b/>
          <w:bCs/>
          <w:lang w:val="en-US" w:eastAsia="zh-CN"/>
        </w:rPr>
        <w:t>03包</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bookmarkStart w:id="9" w:name="_Toc520455385"/>
      <w:r>
        <w:rPr>
          <w:rFonts w:hint="default" w:cs="Times New Roman" w:asciiTheme="minorEastAsia" w:hAnsiTheme="minorEastAsia" w:eastAsiaTheme="minorEastAsia"/>
          <w:color w:val="auto"/>
          <w:kern w:val="2"/>
          <w:sz w:val="24"/>
          <w:szCs w:val="24"/>
          <w:lang w:val="en-US" w:eastAsia="zh-CN" w:bidi="ar-SA"/>
        </w:rPr>
        <w:t>1.交货期：合同签订后15个工作日内完成货物交付。</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2.交货及安装地点：三台县人民医院指定地点。</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3.质保期：≥1年，如国家或行业标准期限长于本项目质保期的，按国家或行业标准执行。</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4.付款方式：货到安装验收合格1个月内付合同总价的70% ，验收合格半年后1个月内付合同总价的20% ，验收合格一年后1个月内付合同总价10%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5.售后服务：保修期内接到报修电话半小时内响应，远程不能有效解决问题，24小时内到达现场，所有人工费、材料费、差旅费等各种费用由中标方支付。终生维修。保修期外费用双方协商确定。</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6.安装调试完成后中标方派专业技术人员对医院相关技术人员进行培训，直至能独立操作，并同时能完成一般常见故障的维修处理。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Times New Roman" w:hAnsi="Times New Roman"/>
          <w:sz w:val="32"/>
          <w:szCs w:val="32"/>
          <w:lang w:eastAsia="zh-CN"/>
        </w:rPr>
      </w:pPr>
      <w:r>
        <w:rPr>
          <w:rFonts w:hint="eastAsia" w:asciiTheme="minorEastAsia" w:hAnsiTheme="minorEastAsia" w:eastAsiaTheme="minorEastAsia"/>
          <w:b/>
          <w:color w:val="auto"/>
          <w:kern w:val="0"/>
          <w:sz w:val="24"/>
        </w:rPr>
        <w:t>▲注：所有的商务要求均为实质性要求，负偏离将导致响应文件无效。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hint="default" w:ascii="宋体" w:hAnsi="宋体" w:eastAsia="宋体" w:cs="Times New Roman"/>
          <w:b/>
          <w:bCs/>
          <w:color w:val="auto"/>
          <w:kern w:val="2"/>
          <w:sz w:val="21"/>
          <w:szCs w:val="21"/>
          <w:lang w:val="en-US" w:eastAsia="zh-CN" w:bidi="ar-SA"/>
        </w:rPr>
      </w:pPr>
      <w:r>
        <w:rPr>
          <w:rFonts w:ascii="Times New Roman" w:hAnsi="Times New Roman"/>
          <w:b/>
          <w:bCs/>
          <w:color w:val="auto"/>
          <w:kern w:val="0"/>
          <w:sz w:val="24"/>
          <w:szCs w:val="20"/>
        </w:rPr>
        <w:t>综合评分明细表</w:t>
      </w:r>
      <w:bookmarkEnd w:id="9"/>
      <w:r>
        <w:rPr>
          <w:rFonts w:hint="eastAsia" w:ascii="Times New Roman" w:hAnsi="Times New Roman"/>
          <w:b/>
          <w:bCs/>
          <w:color w:val="auto"/>
          <w:kern w:val="0"/>
          <w:sz w:val="24"/>
          <w:szCs w:val="20"/>
          <w:lang w:val="en-US" w:eastAsia="zh-CN"/>
        </w:rPr>
        <w:t xml:space="preserve"> 01包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分；一条技术参数不满足扣</w:t>
            </w:r>
            <w:r>
              <w:rPr>
                <w:rFonts w:hint="eastAsia" w:ascii="宋体" w:hAnsi="宋体"/>
                <w:color w:val="000000" w:themeColor="text1"/>
                <w:sz w:val="24"/>
                <w:szCs w:val="24"/>
                <w:lang w:val="en-US" w:eastAsia="zh-CN"/>
                <w14:textFill>
                  <w14:solidFill>
                    <w14:schemeClr w14:val="tx1"/>
                  </w14:solidFill>
                </w14:textFill>
              </w:rPr>
              <w:t>12</w:t>
            </w:r>
            <w:r>
              <w:rPr>
                <w:rFonts w:ascii="宋体" w:hAnsi="宋体"/>
                <w:color w:val="000000" w:themeColor="text1"/>
                <w:sz w:val="24"/>
                <w:szCs w:val="24"/>
                <w14:textFill>
                  <w14:solidFill>
                    <w14:schemeClr w14:val="tx1"/>
                  </w14:solidFill>
                </w14:textFill>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参数须提供产品说明书或检测报告作为佐证。不提供不得分。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bookmarkEnd w:id="7"/>
    <w:bookmarkEnd w:id="8"/>
    <w:p>
      <w:pPr>
        <w:widowControl/>
        <w:adjustRightInd w:val="0"/>
        <w:snapToGrid w:val="0"/>
        <w:spacing w:line="400" w:lineRule="exact"/>
        <w:jc w:val="left"/>
        <w:rPr>
          <w:rFonts w:hint="default" w:ascii="宋体" w:hAnsi="宋体" w:eastAsia="宋体" w:cs="Times New Roman"/>
          <w:b/>
          <w:bCs/>
          <w:color w:val="auto"/>
          <w:kern w:val="2"/>
          <w:sz w:val="21"/>
          <w:szCs w:val="21"/>
          <w:lang w:val="en-US" w:eastAsia="zh-CN" w:bidi="ar-SA"/>
        </w:rPr>
      </w:pPr>
      <w:r>
        <w:rPr>
          <w:rFonts w:ascii="Times New Roman" w:hAnsi="Times New Roman"/>
          <w:kern w:val="0"/>
          <w:sz w:val="24"/>
          <w:szCs w:val="24"/>
          <w:lang w:val="zh-CN"/>
        </w:rPr>
        <w:br w:type="page"/>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02包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11</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color w:val="auto"/>
                <w:sz w:val="24"/>
                <w:szCs w:val="24"/>
                <w:lang w:eastAsia="zh-CN"/>
              </w:rPr>
              <w:t>带“</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号参数须提供产品说明书或检测报告作为佐证</w:t>
            </w:r>
            <w:r>
              <w:rPr>
                <w:rFonts w:hint="eastAsia" w:ascii="宋体" w:hAnsi="宋体"/>
                <w:color w:val="auto"/>
                <w:sz w:val="24"/>
                <w:szCs w:val="24"/>
                <w:lang w:eastAsia="zh-CN"/>
              </w:rPr>
              <w:t>，非“</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w:t>
            </w:r>
            <w:r>
              <w:rPr>
                <w:rFonts w:hint="eastAsia" w:ascii="宋体" w:hAnsi="宋体"/>
                <w:color w:val="auto"/>
                <w:sz w:val="24"/>
                <w:szCs w:val="24"/>
                <w:lang w:eastAsia="zh-CN"/>
              </w:rPr>
              <w:t>或彩页资料</w:t>
            </w:r>
            <w:r>
              <w:rPr>
                <w:rFonts w:hint="eastAsia" w:ascii="宋体" w:hAnsi="宋体"/>
                <w:color w:val="auto"/>
                <w:sz w:val="24"/>
                <w:szCs w:val="24"/>
              </w:rPr>
              <w:t>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jc w:val="left"/>
        <w:rPr>
          <w:rFonts w:hint="default" w:ascii="宋体" w:hAnsi="宋体" w:eastAsia="宋体" w:cs="Times New Roman"/>
          <w:b/>
          <w:bCs/>
          <w:color w:val="auto"/>
          <w:kern w:val="2"/>
          <w:sz w:val="21"/>
          <w:szCs w:val="21"/>
          <w:lang w:val="en-US" w:eastAsia="zh-CN" w:bidi="ar-SA"/>
        </w:rPr>
      </w:pPr>
      <w:r>
        <w:rPr>
          <w:rFonts w:ascii="Times New Roman" w:hAnsi="Times New Roman"/>
          <w:kern w:val="0"/>
          <w:sz w:val="24"/>
          <w:szCs w:val="24"/>
          <w:lang w:val="zh-CN"/>
        </w:rPr>
        <w:br w:type="page"/>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03包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19"/>
        <w:gridCol w:w="936"/>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59.5%</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59.5</w:t>
            </w:r>
            <w:r>
              <w:rPr>
                <w:rFonts w:ascii="宋体" w:hAnsi="宋体"/>
                <w:color w:val="000000" w:themeColor="text1"/>
                <w:sz w:val="24"/>
                <w:szCs w:val="24"/>
                <w14:textFill>
                  <w14:solidFill>
                    <w14:schemeClr w14:val="tx1"/>
                  </w14:solidFill>
                </w14:textFill>
              </w:rPr>
              <w:t>分；一条技术参数不满足扣</w:t>
            </w:r>
            <w:r>
              <w:rPr>
                <w:rFonts w:hint="eastAsia" w:ascii="宋体" w:hAnsi="宋体"/>
                <w:color w:val="000000" w:themeColor="text1"/>
                <w:sz w:val="24"/>
                <w:szCs w:val="24"/>
                <w:lang w:val="en-US" w:eastAsia="zh-CN"/>
                <w14:textFill>
                  <w14:solidFill>
                    <w14:schemeClr w14:val="tx1"/>
                  </w14:solidFill>
                </w14:textFill>
              </w:rPr>
              <w:t>8.5</w:t>
            </w:r>
            <w:r>
              <w:rPr>
                <w:rFonts w:ascii="宋体" w:hAnsi="宋体"/>
                <w:color w:val="000000" w:themeColor="text1"/>
                <w:sz w:val="24"/>
                <w:szCs w:val="24"/>
                <w14:textFill>
                  <w14:solidFill>
                    <w14:schemeClr w14:val="tx1"/>
                  </w14:solidFill>
                </w14:textFill>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参数须提供产品说明书或检测报告作为佐证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4.5%</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ascii="Times New Roman" w:hAnsi="Times New Roman"/>
          <w:kern w:val="0"/>
          <w:sz w:val="24"/>
          <w:szCs w:val="24"/>
          <w:lang w:val="zh-CN"/>
        </w:rPr>
      </w:pPr>
    </w:p>
    <w:p>
      <w:pPr>
        <w:rPr>
          <w:rFonts w:ascii="Times New Roman" w:hAnsi="Times New Roman"/>
          <w:b/>
          <w:kern w:val="0"/>
          <w:sz w:val="32"/>
          <w:szCs w:val="20"/>
        </w:rPr>
      </w:pPr>
      <w:r>
        <w:rPr>
          <w:rFonts w:ascii="Times New Roman" w:hAnsi="Times New Roman"/>
          <w:b/>
          <w:kern w:val="0"/>
          <w:sz w:val="32"/>
          <w:szCs w:val="20"/>
        </w:rPr>
        <w:br w:type="page"/>
      </w:r>
    </w:p>
    <w:p>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pP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40447267"/>
      <w:bookmarkStart w:id="12" w:name="_Toc52036326"/>
      <w:bookmarkStart w:id="13" w:name="_Toc33698132"/>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40447268"/>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4051808"/>
      <w:bookmarkStart w:id="26" w:name="_Toc33698135"/>
      <w:bookmarkStart w:id="27" w:name="_Toc52036329"/>
      <w:bookmarkStart w:id="28" w:name="_Toc33709796"/>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10129"/>
      <w:bookmarkStart w:id="31" w:name="_Toc307564880"/>
      <w:bookmarkStart w:id="32" w:name="_Toc436385992"/>
      <w:bookmarkStart w:id="33" w:name="_Toc436820890"/>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33698136"/>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B5540"/>
    <w:rsid w:val="04811B11"/>
    <w:rsid w:val="04E70C2A"/>
    <w:rsid w:val="04EB48D3"/>
    <w:rsid w:val="05A625A8"/>
    <w:rsid w:val="066C2850"/>
    <w:rsid w:val="074C4016"/>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109160DD"/>
    <w:rsid w:val="10F7015B"/>
    <w:rsid w:val="112278CE"/>
    <w:rsid w:val="113411C1"/>
    <w:rsid w:val="113B16DB"/>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7F6619"/>
    <w:rsid w:val="24F96C22"/>
    <w:rsid w:val="260B04D9"/>
    <w:rsid w:val="2629095F"/>
    <w:rsid w:val="26463681"/>
    <w:rsid w:val="271909D4"/>
    <w:rsid w:val="27457A1B"/>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7C46D0"/>
    <w:rsid w:val="2E222864"/>
    <w:rsid w:val="2F053687"/>
    <w:rsid w:val="2F1239C7"/>
    <w:rsid w:val="2F5D26AF"/>
    <w:rsid w:val="2FB70420"/>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839273F"/>
    <w:rsid w:val="38413512"/>
    <w:rsid w:val="38FD63A7"/>
    <w:rsid w:val="390B4EA9"/>
    <w:rsid w:val="39202673"/>
    <w:rsid w:val="3A0E0140"/>
    <w:rsid w:val="3A0E6217"/>
    <w:rsid w:val="3A83468A"/>
    <w:rsid w:val="3AB16C65"/>
    <w:rsid w:val="3B091F0D"/>
    <w:rsid w:val="3B0E03F8"/>
    <w:rsid w:val="3B8A7AB4"/>
    <w:rsid w:val="3BB07701"/>
    <w:rsid w:val="3BE1743B"/>
    <w:rsid w:val="3BF758E5"/>
    <w:rsid w:val="3C0A6E90"/>
    <w:rsid w:val="3C0E0AC9"/>
    <w:rsid w:val="3C1D522E"/>
    <w:rsid w:val="3C693B9A"/>
    <w:rsid w:val="3C8B3CCA"/>
    <w:rsid w:val="3CF4186F"/>
    <w:rsid w:val="3D4E0F7F"/>
    <w:rsid w:val="3D804EB1"/>
    <w:rsid w:val="3E5C147A"/>
    <w:rsid w:val="3E6946D7"/>
    <w:rsid w:val="3F3026AC"/>
    <w:rsid w:val="3F694203"/>
    <w:rsid w:val="3FDC7247"/>
    <w:rsid w:val="40F37FB8"/>
    <w:rsid w:val="421016D5"/>
    <w:rsid w:val="42415F57"/>
    <w:rsid w:val="4249318F"/>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903377"/>
    <w:rsid w:val="4BB548C0"/>
    <w:rsid w:val="4BC43E4C"/>
    <w:rsid w:val="4C284DED"/>
    <w:rsid w:val="4C2C6594"/>
    <w:rsid w:val="4C7D185E"/>
    <w:rsid w:val="4C924A79"/>
    <w:rsid w:val="4DE85C7A"/>
    <w:rsid w:val="4E273FB4"/>
    <w:rsid w:val="4E3E6E2B"/>
    <w:rsid w:val="4E8065F8"/>
    <w:rsid w:val="4E81291C"/>
    <w:rsid w:val="4EF61477"/>
    <w:rsid w:val="4F2204BE"/>
    <w:rsid w:val="4F4127A9"/>
    <w:rsid w:val="4FAD422B"/>
    <w:rsid w:val="4FC7696F"/>
    <w:rsid w:val="50165E6F"/>
    <w:rsid w:val="50277BC9"/>
    <w:rsid w:val="503E2CAF"/>
    <w:rsid w:val="50513F03"/>
    <w:rsid w:val="50703ED4"/>
    <w:rsid w:val="50812FC2"/>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356E1A"/>
    <w:rsid w:val="555313D1"/>
    <w:rsid w:val="557F21C6"/>
    <w:rsid w:val="55DB3378"/>
    <w:rsid w:val="55F54236"/>
    <w:rsid w:val="568E6439"/>
    <w:rsid w:val="56B23F9C"/>
    <w:rsid w:val="56B93C5A"/>
    <w:rsid w:val="572A6162"/>
    <w:rsid w:val="573963A5"/>
    <w:rsid w:val="575256B8"/>
    <w:rsid w:val="578E0FAB"/>
    <w:rsid w:val="57A852D8"/>
    <w:rsid w:val="58337298"/>
    <w:rsid w:val="58360F93"/>
    <w:rsid w:val="58BA1F78"/>
    <w:rsid w:val="58BD65F9"/>
    <w:rsid w:val="58CD3249"/>
    <w:rsid w:val="596A6CE9"/>
    <w:rsid w:val="599D70BF"/>
    <w:rsid w:val="59AB58B3"/>
    <w:rsid w:val="59F42A57"/>
    <w:rsid w:val="5AA9706F"/>
    <w:rsid w:val="5AAD383C"/>
    <w:rsid w:val="5B505E97"/>
    <w:rsid w:val="5C034EEC"/>
    <w:rsid w:val="5D627046"/>
    <w:rsid w:val="5D6A1FF5"/>
    <w:rsid w:val="5DC94A1C"/>
    <w:rsid w:val="5DCB4FC2"/>
    <w:rsid w:val="5DD8138D"/>
    <w:rsid w:val="5DEF0CB7"/>
    <w:rsid w:val="5E0D2339"/>
    <w:rsid w:val="5E435D5B"/>
    <w:rsid w:val="5E940365"/>
    <w:rsid w:val="5EBF7E2B"/>
    <w:rsid w:val="5F035C9C"/>
    <w:rsid w:val="5F3D27AA"/>
    <w:rsid w:val="5F4C0C3F"/>
    <w:rsid w:val="5F9B0133"/>
    <w:rsid w:val="5FD05326"/>
    <w:rsid w:val="607478B7"/>
    <w:rsid w:val="60992EDF"/>
    <w:rsid w:val="60BD5394"/>
    <w:rsid w:val="60E75FA3"/>
    <w:rsid w:val="611E7ED2"/>
    <w:rsid w:val="617A7CE6"/>
    <w:rsid w:val="61840B64"/>
    <w:rsid w:val="62892A63"/>
    <w:rsid w:val="6327656B"/>
    <w:rsid w:val="634C116F"/>
    <w:rsid w:val="63DA70E2"/>
    <w:rsid w:val="63F0428F"/>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4351C"/>
    <w:rsid w:val="69EA352F"/>
    <w:rsid w:val="69FA5E67"/>
    <w:rsid w:val="6A364210"/>
    <w:rsid w:val="6A4F2F1A"/>
    <w:rsid w:val="6A5D01A4"/>
    <w:rsid w:val="6A933BC6"/>
    <w:rsid w:val="6AA06E52"/>
    <w:rsid w:val="6ABE0C43"/>
    <w:rsid w:val="6ACA37D9"/>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2"/>
    <w:autoRedefine/>
    <w:qFormat/>
    <w:uiPriority w:val="0"/>
    <w:pPr>
      <w:spacing w:after="120"/>
    </w:pPr>
    <w:rPr>
      <w:rFonts w:ascii="Times New Roman" w:hAnsi="Times New Roman"/>
    </w:r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7">
    <w:name w:val="Normal Indent"/>
    <w:basedOn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59"/>
    <w:autoRedefine/>
    <w:qFormat/>
    <w:uiPriority w:val="0"/>
    <w:pPr>
      <w:jc w:val="left"/>
    </w:pPr>
    <w:rPr>
      <w:rFonts w:ascii="Times New Roman" w:hAnsi="Times New Roman"/>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4"/>
    <w:autoRedefine/>
    <w:qFormat/>
    <w:uiPriority w:val="0"/>
    <w:rPr>
      <w:rFonts w:ascii="Calibri" w:hAnsi="Calibri"/>
      <w:b/>
      <w:bCs/>
      <w:kern w:val="44"/>
      <w:sz w:val="44"/>
      <w:szCs w:val="44"/>
    </w:rPr>
  </w:style>
  <w:style w:type="character" w:customStyle="1" w:styleId="32">
    <w:name w:val="标题 2 Char"/>
    <w:basedOn w:val="25"/>
    <w:link w:val="5"/>
    <w:autoRedefine/>
    <w:qFormat/>
    <w:uiPriority w:val="0"/>
    <w:rPr>
      <w:rFonts w:ascii="Arial" w:hAnsi="Arial" w:eastAsia="黑体"/>
      <w:b/>
      <w:bCs/>
      <w:sz w:val="32"/>
      <w:szCs w:val="32"/>
    </w:rPr>
  </w:style>
  <w:style w:type="character" w:customStyle="1" w:styleId="33">
    <w:name w:val="标题 3 Char"/>
    <w:basedOn w:val="25"/>
    <w:link w:val="6"/>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2"/>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8"/>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2"/>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8"/>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8552</Words>
  <Characters>8889</Characters>
  <Lines>102</Lines>
  <Paragraphs>28</Paragraphs>
  <TotalTime>29</TotalTime>
  <ScaleCrop>false</ScaleCrop>
  <LinksUpToDate>false</LinksUpToDate>
  <CharactersWithSpaces>10469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cp:lastPrinted>2024-04-29T08:44:00Z</cp:lastPrinted>
  <dcterms:modified xsi:type="dcterms:W3CDTF">2024-04-29T09:04:32Z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F43260EA7D044F58AE47754BF9C4C356</vt:lpwstr>
  </property>
</Properties>
</file>